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打开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instrText xml:space="preserve"> HYPERLINK "https://mc.linghuchongtech.com/" \l "/" </w:instrTex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4"/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首页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shd w:val="clear" w:fill="FFFFFF"/>
        </w:rPr>
        <w:t>/营收管理/充电计费管理/人群定价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页面，找到曹操出行的计价分组。</w:t>
      </w:r>
    </w:p>
    <w:p>
      <w:pPr>
        <w:numPr>
          <w:numId w:val="0"/>
        </w:numPr>
      </w:pPr>
      <w:r>
        <w:drawing>
          <wp:inline distT="0" distB="0" distL="114300" distR="114300">
            <wp:extent cx="5698490" cy="2524760"/>
            <wp:effectExtent l="0" t="0" r="127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8490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右侧操作栏点击编辑修改电价设置。</w:t>
      </w:r>
    </w:p>
    <w:p>
      <w:pPr>
        <w:numPr>
          <w:numId w:val="0"/>
        </w:numPr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829300" cy="2958465"/>
            <wp:effectExtent l="0" t="0" r="7620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95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663C9"/>
    <w:multiLevelType w:val="singleLevel"/>
    <w:tmpl w:val="7DF663C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41C50"/>
    <w:rsid w:val="2864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2020-08-10T05:50:00Z</dcterms:created>
  <dc:creator>hoocy</dc:creator>
  <cp:lastModifiedBy>hoocy</cp:lastModifiedBy>
  <dcterms:modified xsi:type="dcterms:W3CDTF">2020-08-10T05:55:24Z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